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2B6D" w14:textId="77777777" w:rsidR="00C31C61" w:rsidRPr="00E55F91" w:rsidRDefault="00A95FD3" w:rsidP="00ED7D93">
      <w:pPr>
        <w:jc w:val="center"/>
        <w:rPr>
          <w:rFonts w:ascii="標楷體" w:eastAsia="標楷體" w:hAnsi="標楷體"/>
          <w:b/>
          <w:color w:val="000000" w:themeColor="text1"/>
          <w:sz w:val="36"/>
        </w:rPr>
      </w:pPr>
      <w:r w:rsidRPr="00E55F91">
        <w:rPr>
          <w:rFonts w:ascii="標楷體" w:eastAsia="標楷體" w:hAnsi="標楷體" w:cs="Arial" w:hint="eastAsia"/>
          <w:b/>
          <w:bCs/>
          <w:color w:val="000000" w:themeColor="text1"/>
          <w:sz w:val="36"/>
          <w:szCs w:val="29"/>
        </w:rPr>
        <w:t>失智症診療醫師推薦申請流程</w:t>
      </w:r>
    </w:p>
    <w:tbl>
      <w:tblPr>
        <w:tblStyle w:val="a4"/>
        <w:tblW w:w="0" w:type="auto"/>
        <w:tblLook w:val="04A0" w:firstRow="1" w:lastRow="0" w:firstColumn="1" w:lastColumn="0" w:noHBand="0" w:noVBand="1"/>
      </w:tblPr>
      <w:tblGrid>
        <w:gridCol w:w="4175"/>
        <w:gridCol w:w="6281"/>
      </w:tblGrid>
      <w:tr w:rsidR="00E314B4" w14:paraId="61EED630" w14:textId="77777777" w:rsidTr="003729BC">
        <w:tc>
          <w:tcPr>
            <w:tcW w:w="4077" w:type="dxa"/>
          </w:tcPr>
          <w:p w14:paraId="05F6F122" w14:textId="77777777" w:rsidR="00E314B4" w:rsidRPr="00ED7D93" w:rsidRDefault="00E314B4" w:rsidP="00E314B4">
            <w:pPr>
              <w:jc w:val="center"/>
              <w:rPr>
                <w:rFonts w:ascii="標楷體" w:eastAsia="標楷體" w:hAnsi="標楷體"/>
                <w:b/>
                <w:color w:val="000000" w:themeColor="text1"/>
                <w:szCs w:val="24"/>
              </w:rPr>
            </w:pPr>
            <w:r w:rsidRPr="00ED7D93">
              <w:rPr>
                <w:rFonts w:ascii="標楷體" w:eastAsia="標楷體" w:hAnsi="標楷體" w:hint="eastAsia"/>
                <w:b/>
                <w:color w:val="000000" w:themeColor="text1"/>
                <w:szCs w:val="24"/>
              </w:rPr>
              <w:t>流程圖</w:t>
            </w:r>
          </w:p>
        </w:tc>
        <w:tc>
          <w:tcPr>
            <w:tcW w:w="6445" w:type="dxa"/>
          </w:tcPr>
          <w:p w14:paraId="6D8D547B" w14:textId="77777777" w:rsidR="00E314B4" w:rsidRPr="00ED7D93" w:rsidRDefault="003729BC" w:rsidP="00E314B4">
            <w:pPr>
              <w:jc w:val="center"/>
              <w:rPr>
                <w:rFonts w:ascii="標楷體" w:eastAsia="標楷體" w:hAnsi="標楷體"/>
                <w:b/>
                <w:color w:val="000000" w:themeColor="text1"/>
                <w:szCs w:val="24"/>
              </w:rPr>
            </w:pPr>
            <w:r w:rsidRPr="00ED7D93">
              <w:rPr>
                <w:rFonts w:ascii="標楷體" w:eastAsia="標楷體" w:hAnsi="標楷體" w:hint="eastAsia"/>
                <w:b/>
                <w:color w:val="000000" w:themeColor="text1"/>
                <w:szCs w:val="24"/>
              </w:rPr>
              <w:t>申請推薦資格</w:t>
            </w:r>
          </w:p>
        </w:tc>
      </w:tr>
      <w:tr w:rsidR="00E314B4" w14:paraId="1AB20E12" w14:textId="77777777" w:rsidTr="003729BC">
        <w:tc>
          <w:tcPr>
            <w:tcW w:w="4077" w:type="dxa"/>
          </w:tcPr>
          <w:p w14:paraId="229BD1AC" w14:textId="77777777" w:rsidR="00E314B4" w:rsidRPr="00ED7D93" w:rsidRDefault="003729BC">
            <w:pPr>
              <w:rPr>
                <w:rFonts w:ascii="標楷體" w:eastAsia="標楷體" w:hAnsi="標楷體"/>
                <w:b/>
                <w:color w:val="FF0000"/>
                <w:szCs w:val="24"/>
              </w:rPr>
            </w:pPr>
            <w:r w:rsidRPr="00ED7D93">
              <w:rPr>
                <w:rFonts w:ascii="標楷體" w:eastAsia="標楷體" w:hAnsi="標楷體"/>
              </w:rPr>
              <w:object w:dxaOrig="10966" w:dyaOrig="13971" w14:anchorId="1400C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85.5pt" o:ole="">
                  <v:imagedata r:id="rId5" o:title=""/>
                </v:shape>
                <o:OLEObject Type="Embed" ProgID="Visio.Drawing.11" ShapeID="_x0000_i1025" DrawAspect="Content" ObjectID="_1791192643" r:id="rId6"/>
              </w:object>
            </w:r>
          </w:p>
        </w:tc>
        <w:tc>
          <w:tcPr>
            <w:tcW w:w="6445" w:type="dxa"/>
          </w:tcPr>
          <w:p w14:paraId="4EC76BFB" w14:textId="77777777" w:rsidR="003729BC" w:rsidRPr="00ED7D93" w:rsidRDefault="003729BC" w:rsidP="003729BC">
            <w:pPr>
              <w:rPr>
                <w:rFonts w:ascii="標楷體" w:eastAsia="標楷體" w:hAnsi="標楷體"/>
                <w:color w:val="000000" w:themeColor="text1"/>
                <w:szCs w:val="24"/>
              </w:rPr>
            </w:pPr>
            <w:r w:rsidRPr="006F4515">
              <w:rPr>
                <w:rFonts w:ascii="標楷體" w:eastAsia="標楷體" w:hAnsi="標楷體" w:hint="eastAsia"/>
                <w:color w:val="000000" w:themeColor="text1"/>
                <w:szCs w:val="24"/>
              </w:rPr>
              <w:t>第二條：</w:t>
            </w:r>
            <w:r w:rsidRPr="00ED7D93">
              <w:rPr>
                <w:rFonts w:ascii="標楷體" w:eastAsia="標楷體" w:hAnsi="標楷體" w:hint="eastAsia"/>
                <w:color w:val="000000" w:themeColor="text1"/>
                <w:szCs w:val="24"/>
              </w:rPr>
              <w:t>凡申請失智症診療醫師推薦者需具備下列各項基本要件：</w:t>
            </w:r>
          </w:p>
          <w:p w14:paraId="53865460" w14:textId="77777777" w:rsidR="003729BC" w:rsidRPr="00ED7D93" w:rsidRDefault="003729BC" w:rsidP="00F94A91">
            <w:pPr>
              <w:pStyle w:val="a3"/>
              <w:numPr>
                <w:ilvl w:val="0"/>
                <w:numId w:val="7"/>
              </w:numPr>
              <w:ind w:leftChars="0" w:left="672" w:hanging="567"/>
              <w:rPr>
                <w:rFonts w:ascii="標楷體" w:eastAsia="標楷體" w:hAnsi="標楷體"/>
                <w:color w:val="000000" w:themeColor="text1"/>
                <w:szCs w:val="24"/>
              </w:rPr>
            </w:pPr>
            <w:r w:rsidRPr="00ED7D93">
              <w:rPr>
                <w:rFonts w:ascii="標楷體" w:eastAsia="標楷體" w:hAnsi="標楷體" w:hint="eastAsia"/>
                <w:color w:val="000000" w:themeColor="text1"/>
                <w:szCs w:val="24"/>
              </w:rPr>
              <w:t>持有衛生署認定之專科醫師證書，且持續從事經本會認定之失智症醫療保健工作至少一年以上者。</w:t>
            </w:r>
          </w:p>
          <w:p w14:paraId="635FB8B2" w14:textId="77777777" w:rsidR="003729BC" w:rsidRPr="00ED7D93" w:rsidRDefault="003729BC" w:rsidP="00F94A91">
            <w:pPr>
              <w:pStyle w:val="a3"/>
              <w:numPr>
                <w:ilvl w:val="0"/>
                <w:numId w:val="7"/>
              </w:numPr>
              <w:ind w:leftChars="0" w:left="672" w:hanging="567"/>
              <w:rPr>
                <w:rFonts w:ascii="標楷體" w:eastAsia="標楷體" w:hAnsi="標楷體"/>
                <w:color w:val="000000" w:themeColor="text1"/>
                <w:szCs w:val="24"/>
              </w:rPr>
            </w:pPr>
            <w:r w:rsidRPr="00ED7D93">
              <w:rPr>
                <w:rFonts w:ascii="標楷體" w:eastAsia="標楷體" w:hAnsi="標楷體" w:hint="eastAsia"/>
                <w:color w:val="000000" w:themeColor="text1"/>
                <w:szCs w:val="24"/>
              </w:rPr>
              <w:t>需通過本學會主辦之『失智症核心課程』與『神經心理學測驗暨失智症評估訓練課程』達6小時，且三年內累積之本會主辦或認可之</w:t>
            </w:r>
            <w:r w:rsidRPr="006F4515">
              <w:rPr>
                <w:rFonts w:ascii="標楷體" w:eastAsia="標楷體" w:hAnsi="標楷體"/>
                <w:color w:val="000000" w:themeColor="text1"/>
                <w:szCs w:val="24"/>
              </w:rPr>
              <w:t>失智症</w:t>
            </w:r>
            <w:r w:rsidRPr="006F4515">
              <w:rPr>
                <w:rFonts w:ascii="標楷體" w:eastAsia="標楷體" w:hAnsi="標楷體" w:hint="eastAsia"/>
                <w:color w:val="000000" w:themeColor="text1"/>
                <w:szCs w:val="24"/>
              </w:rPr>
              <w:t>繼續教育積分時數達18小時者，但符合第三條之要件者可不受此限『</w:t>
            </w:r>
            <w:r w:rsidRPr="006F4515">
              <w:rPr>
                <w:rFonts w:ascii="標楷體" w:eastAsia="標楷體" w:hAnsi="標楷體"/>
                <w:color w:val="000000" w:themeColor="text1"/>
                <w:szCs w:val="24"/>
              </w:rPr>
              <w:t>失智症</w:t>
            </w:r>
            <w:r w:rsidRPr="006F4515">
              <w:rPr>
                <w:rFonts w:ascii="標楷體" w:eastAsia="標楷體" w:hAnsi="標楷體" w:hint="eastAsia"/>
                <w:color w:val="000000" w:themeColor="text1"/>
                <w:szCs w:val="24"/>
              </w:rPr>
              <w:t>進階課程』與</w:t>
            </w:r>
            <w:r w:rsidRPr="00ED7D93">
              <w:rPr>
                <w:rFonts w:ascii="標楷體" w:eastAsia="標楷體" w:hAnsi="標楷體" w:hint="eastAsia"/>
                <w:color w:val="000000" w:themeColor="text1"/>
                <w:szCs w:val="24"/>
              </w:rPr>
              <w:t>『神經心理學測驗訓練課程』之內容與標準，另以辦法訂定之。</w:t>
            </w:r>
          </w:p>
          <w:p w14:paraId="6A3D6BFD" w14:textId="77777777" w:rsidR="003729BC" w:rsidRPr="00ED7D93" w:rsidRDefault="003729BC" w:rsidP="003729BC">
            <w:pPr>
              <w:rPr>
                <w:rFonts w:ascii="標楷體" w:eastAsia="標楷體" w:hAnsi="標楷體"/>
                <w:color w:val="000000" w:themeColor="text1"/>
                <w:szCs w:val="24"/>
              </w:rPr>
            </w:pPr>
            <w:r w:rsidRPr="006F4515">
              <w:rPr>
                <w:rFonts w:ascii="標楷體" w:eastAsia="標楷體" w:hAnsi="標楷體" w:hint="eastAsia"/>
                <w:color w:val="000000" w:themeColor="text1"/>
                <w:szCs w:val="24"/>
              </w:rPr>
              <w:t>第三條：</w:t>
            </w:r>
            <w:r w:rsidRPr="00ED7D93">
              <w:rPr>
                <w:rFonts w:ascii="標楷體" w:eastAsia="標楷體" w:hAnsi="標楷體" w:hint="eastAsia"/>
                <w:color w:val="000000" w:themeColor="text1"/>
                <w:szCs w:val="24"/>
              </w:rPr>
              <w:t>凡醫師符合第二條第一款之各項要件，並具備下列資格之一者，得不受第二條第二款之限制：</w:t>
            </w:r>
          </w:p>
          <w:p w14:paraId="5164B541" w14:textId="77777777" w:rsidR="003729BC" w:rsidRPr="00ED7D93" w:rsidRDefault="003729BC" w:rsidP="00F94A91">
            <w:pPr>
              <w:pStyle w:val="a3"/>
              <w:numPr>
                <w:ilvl w:val="0"/>
                <w:numId w:val="8"/>
              </w:numPr>
              <w:ind w:leftChars="0" w:left="672" w:hanging="567"/>
              <w:rPr>
                <w:rFonts w:ascii="標楷體" w:eastAsia="標楷體" w:hAnsi="標楷體"/>
                <w:color w:val="000000" w:themeColor="text1"/>
                <w:szCs w:val="24"/>
              </w:rPr>
            </w:pPr>
            <w:r w:rsidRPr="00ED7D93">
              <w:rPr>
                <w:rFonts w:ascii="標楷體" w:eastAsia="標楷體" w:hAnsi="標楷體" w:hint="eastAsia"/>
                <w:color w:val="000000" w:themeColor="text1"/>
                <w:szCs w:val="24"/>
              </w:rPr>
              <w:t>據教育部審定講師以上資格，並在教學醫院擔任失智症醫學臨床工作滿兩年以上，且經本會審查認可者。</w:t>
            </w:r>
          </w:p>
          <w:p w14:paraId="1F8A717B" w14:textId="77777777" w:rsidR="003729BC" w:rsidRPr="00ED7D93" w:rsidRDefault="003729BC" w:rsidP="00F94A91">
            <w:pPr>
              <w:pStyle w:val="a3"/>
              <w:numPr>
                <w:ilvl w:val="0"/>
                <w:numId w:val="8"/>
              </w:numPr>
              <w:ind w:leftChars="0" w:left="672" w:hanging="567"/>
              <w:rPr>
                <w:rFonts w:ascii="標楷體" w:eastAsia="標楷體" w:hAnsi="標楷體"/>
                <w:color w:val="000000" w:themeColor="text1"/>
                <w:szCs w:val="24"/>
              </w:rPr>
            </w:pPr>
            <w:r w:rsidRPr="00ED7D93">
              <w:rPr>
                <w:rFonts w:ascii="標楷體" w:eastAsia="標楷體" w:hAnsi="標楷體" w:hint="eastAsia"/>
                <w:color w:val="000000" w:themeColor="text1"/>
                <w:szCs w:val="24"/>
              </w:rPr>
              <w:t>擔任失智症醫學臨床工作滿一年以上，且最近5年內曾在相關醫學雜誌以第一作者或通訊作者身份發表與失智症醫學相關之論文二篇以上，且經本會審查認可者。</w:t>
            </w:r>
          </w:p>
          <w:p w14:paraId="1D30409F" w14:textId="77777777" w:rsidR="003729BC" w:rsidRPr="00ED7D93" w:rsidRDefault="003729BC" w:rsidP="00F94A91">
            <w:pPr>
              <w:pStyle w:val="a3"/>
              <w:numPr>
                <w:ilvl w:val="0"/>
                <w:numId w:val="8"/>
              </w:numPr>
              <w:ind w:leftChars="0" w:left="672" w:hanging="567"/>
              <w:rPr>
                <w:rFonts w:ascii="標楷體" w:eastAsia="標楷體" w:hAnsi="標楷體"/>
                <w:color w:val="000000" w:themeColor="text1"/>
                <w:szCs w:val="24"/>
              </w:rPr>
            </w:pPr>
            <w:r w:rsidRPr="00ED7D93">
              <w:rPr>
                <w:rFonts w:ascii="標楷體" w:eastAsia="標楷體" w:hAnsi="標楷體" w:hint="eastAsia"/>
                <w:color w:val="000000" w:themeColor="text1"/>
                <w:szCs w:val="24"/>
              </w:rPr>
              <w:t>曾在國外進修失智症醫學一年以上，且擔任失智症醫學之相關工作滿一年以上，並繼續從事失智症醫學之教育訓練或臨床工作，且經本會審查認可者。</w:t>
            </w:r>
          </w:p>
          <w:p w14:paraId="5F2BCB6F" w14:textId="77777777" w:rsidR="00F94A91" w:rsidRDefault="003729BC" w:rsidP="00F94A91">
            <w:pPr>
              <w:pStyle w:val="a3"/>
              <w:numPr>
                <w:ilvl w:val="0"/>
                <w:numId w:val="9"/>
              </w:numPr>
              <w:ind w:leftChars="0" w:left="246" w:hanging="246"/>
              <w:rPr>
                <w:rFonts w:ascii="標楷體" w:eastAsia="標楷體" w:hAnsi="標楷體"/>
                <w:color w:val="000000" w:themeColor="text1"/>
                <w:szCs w:val="24"/>
              </w:rPr>
            </w:pPr>
            <w:r w:rsidRPr="00ED7D93">
              <w:rPr>
                <w:rFonts w:ascii="標楷體" w:eastAsia="標楷體" w:hAnsi="標楷體" w:hint="eastAsia"/>
                <w:color w:val="000000" w:themeColor="text1"/>
                <w:szCs w:val="24"/>
              </w:rPr>
              <w:t>下載並填妥『失智症診療醫師推薦申請表』</w:t>
            </w:r>
          </w:p>
          <w:p w14:paraId="2E283997" w14:textId="77777777" w:rsidR="003729BC" w:rsidRPr="00F94A91" w:rsidRDefault="003729BC" w:rsidP="00F94A91">
            <w:pPr>
              <w:pStyle w:val="a3"/>
              <w:numPr>
                <w:ilvl w:val="0"/>
                <w:numId w:val="9"/>
              </w:numPr>
              <w:ind w:leftChars="0" w:left="246" w:hanging="246"/>
              <w:rPr>
                <w:rFonts w:ascii="標楷體" w:eastAsia="標楷體" w:hAnsi="標楷體"/>
                <w:color w:val="000000" w:themeColor="text1"/>
                <w:szCs w:val="24"/>
              </w:rPr>
            </w:pPr>
            <w:r w:rsidRPr="00F94A91">
              <w:rPr>
                <w:rFonts w:ascii="標楷體" w:eastAsia="標楷體" w:hAnsi="標楷體" w:hint="eastAsia"/>
                <w:color w:val="000000" w:themeColor="text1"/>
                <w:szCs w:val="24"/>
              </w:rPr>
              <w:t>申請證書審核費用為新台幣五百元整。</w:t>
            </w:r>
          </w:p>
          <w:p w14:paraId="58362EA5" w14:textId="77777777" w:rsidR="003729BC" w:rsidRPr="00ED7D93" w:rsidRDefault="003729BC" w:rsidP="003729BC">
            <w:pPr>
              <w:pStyle w:val="a3"/>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請利用本會</w:t>
            </w:r>
            <w:r w:rsidR="00ED7D93" w:rsidRPr="006F4515">
              <w:rPr>
                <w:rFonts w:ascii="標楷體" w:eastAsia="標楷體" w:hAnsi="標楷體" w:hint="eastAsia"/>
                <w:color w:val="000000" w:themeColor="text1"/>
                <w:szCs w:val="24"/>
              </w:rPr>
              <w:t>台新銀行</w:t>
            </w:r>
            <w:r w:rsidR="0044458F">
              <w:rPr>
                <w:rFonts w:ascii="標楷體" w:eastAsia="標楷體" w:hAnsi="標楷體" w:hint="eastAsia"/>
                <w:color w:val="000000" w:themeColor="text1"/>
                <w:szCs w:val="24"/>
              </w:rPr>
              <w:t>帳戶</w:t>
            </w:r>
            <w:r w:rsidRPr="00ED7D93">
              <w:rPr>
                <w:rFonts w:ascii="標楷體" w:eastAsia="標楷體" w:hAnsi="標楷體" w:hint="eastAsia"/>
                <w:color w:val="000000" w:themeColor="text1"/>
                <w:szCs w:val="24"/>
              </w:rPr>
              <w:t>繳納：</w:t>
            </w:r>
          </w:p>
          <w:p w14:paraId="31A85326" w14:textId="77777777" w:rsidR="00ED7D93" w:rsidRPr="0044458F" w:rsidRDefault="0044458F" w:rsidP="00F94A91">
            <w:pPr>
              <w:pStyle w:val="a3"/>
              <w:numPr>
                <w:ilvl w:val="0"/>
                <w:numId w:val="11"/>
              </w:numPr>
              <w:spacing w:line="400" w:lineRule="exact"/>
              <w:ind w:leftChars="0" w:left="672" w:hanging="192"/>
              <w:rPr>
                <w:rFonts w:ascii="標楷體" w:eastAsia="標楷體" w:hAnsi="標楷體"/>
                <w:color w:val="0000FF"/>
                <w:szCs w:val="24"/>
              </w:rPr>
            </w:pPr>
            <w:r w:rsidRPr="0044458F">
              <w:rPr>
                <w:rFonts w:ascii="標楷體" w:eastAsia="標楷體" w:hAnsi="標楷體" w:hint="eastAsia"/>
                <w:color w:val="0000FF"/>
                <w:szCs w:val="24"/>
              </w:rPr>
              <w:t>812台新銀行 0687建北分行</w:t>
            </w:r>
          </w:p>
          <w:p w14:paraId="218A9F2A" w14:textId="77777777" w:rsidR="0044458F" w:rsidRPr="0044458F" w:rsidRDefault="0044458F" w:rsidP="00F94A91">
            <w:pPr>
              <w:pStyle w:val="a3"/>
              <w:numPr>
                <w:ilvl w:val="0"/>
                <w:numId w:val="11"/>
              </w:numPr>
              <w:spacing w:line="400" w:lineRule="exact"/>
              <w:ind w:leftChars="0" w:left="672" w:hanging="192"/>
              <w:rPr>
                <w:rFonts w:ascii="標楷體" w:eastAsia="標楷體" w:hAnsi="標楷體"/>
                <w:color w:val="0000FF"/>
                <w:szCs w:val="24"/>
              </w:rPr>
            </w:pPr>
            <w:r w:rsidRPr="0044458F">
              <w:rPr>
                <w:rFonts w:ascii="標楷體" w:eastAsia="標楷體" w:hAnsi="標楷體" w:hint="eastAsia"/>
                <w:color w:val="0000FF"/>
                <w:szCs w:val="24"/>
              </w:rPr>
              <w:t>戶名『台灣臨床失智症學會』</w:t>
            </w:r>
          </w:p>
          <w:p w14:paraId="5E08D73D" w14:textId="77777777" w:rsidR="00F94A91" w:rsidRDefault="0044458F" w:rsidP="00F94A91">
            <w:pPr>
              <w:pStyle w:val="a3"/>
              <w:numPr>
                <w:ilvl w:val="0"/>
                <w:numId w:val="11"/>
              </w:numPr>
              <w:spacing w:line="400" w:lineRule="exact"/>
              <w:ind w:leftChars="0" w:left="672" w:hanging="192"/>
              <w:rPr>
                <w:rFonts w:ascii="標楷體" w:eastAsia="標楷體" w:hAnsi="標楷體"/>
                <w:color w:val="000000" w:themeColor="text1"/>
                <w:szCs w:val="24"/>
              </w:rPr>
            </w:pPr>
            <w:r w:rsidRPr="0044458F">
              <w:rPr>
                <w:rFonts w:ascii="標楷體" w:eastAsia="標楷體" w:hAnsi="標楷體" w:hint="eastAsia"/>
                <w:color w:val="0000FF"/>
                <w:szCs w:val="24"/>
              </w:rPr>
              <w:t>帳號：2068-01-0020363-0</w:t>
            </w:r>
          </w:p>
          <w:p w14:paraId="143615DB" w14:textId="77777777" w:rsidR="006F4515" w:rsidRPr="00F94A91" w:rsidRDefault="006F4515" w:rsidP="00F94A91">
            <w:pPr>
              <w:pStyle w:val="a3"/>
              <w:spacing w:line="400" w:lineRule="exact"/>
              <w:ind w:leftChars="0" w:left="672"/>
              <w:rPr>
                <w:rFonts w:ascii="標楷體" w:eastAsia="標楷體" w:hAnsi="標楷體"/>
                <w:color w:val="000000" w:themeColor="text1"/>
                <w:szCs w:val="24"/>
              </w:rPr>
            </w:pPr>
            <w:r w:rsidRPr="00F94A91">
              <w:rPr>
                <w:rFonts w:ascii="標楷體" w:eastAsia="標楷體" w:hAnsi="標楷體" w:cs="Arial"/>
                <w:bCs/>
                <w:color w:val="222222"/>
                <w:szCs w:val="24"/>
                <w:shd w:val="clear" w:color="auto" w:fill="FFFFFF"/>
              </w:rPr>
              <w:t>(繳費可使用ATM-繳費/跨行繳費途徑或用網銀進行繳費</w:t>
            </w:r>
            <w:r w:rsidR="0044458F">
              <w:rPr>
                <w:rFonts w:ascii="標楷體" w:eastAsia="標楷體" w:hAnsi="標楷體" w:cs="Arial" w:hint="eastAsia"/>
                <w:bCs/>
                <w:color w:val="222222"/>
                <w:szCs w:val="24"/>
                <w:shd w:val="clear" w:color="auto" w:fill="FFFFFF"/>
              </w:rPr>
              <w:t>，</w:t>
            </w:r>
            <w:r w:rsidR="0044458F" w:rsidRPr="0044458F">
              <w:rPr>
                <w:rFonts w:ascii="標楷體" w:eastAsia="標楷體" w:hAnsi="標楷體" w:cs="Arial" w:hint="eastAsia"/>
                <w:bCs/>
                <w:color w:val="FF0000"/>
                <w:szCs w:val="24"/>
                <w:shd w:val="clear" w:color="auto" w:fill="FFFFFF"/>
              </w:rPr>
              <w:t>繳費完成請來信並註明</w:t>
            </w:r>
            <w:r w:rsidR="0044458F" w:rsidRPr="0044458F">
              <w:rPr>
                <w:rFonts w:ascii="標楷體" w:eastAsia="標楷體" w:hAnsi="標楷體" w:cs="Arial" w:hint="eastAsia"/>
                <w:b/>
                <w:bCs/>
                <w:color w:val="FF0000"/>
                <w:szCs w:val="24"/>
                <w:u w:val="single"/>
                <w:shd w:val="clear" w:color="auto" w:fill="FFFFFF"/>
              </w:rPr>
              <w:t>姓名及帳號後五碼</w:t>
            </w:r>
            <w:r w:rsidRPr="00F94A91">
              <w:rPr>
                <w:rFonts w:ascii="標楷體" w:eastAsia="標楷體" w:hAnsi="標楷體" w:cs="Arial"/>
                <w:bCs/>
                <w:color w:val="222222"/>
                <w:szCs w:val="24"/>
                <w:shd w:val="clear" w:color="auto" w:fill="FFFFFF"/>
              </w:rPr>
              <w:t>)</w:t>
            </w:r>
          </w:p>
          <w:p w14:paraId="79F12C1A" w14:textId="77777777" w:rsidR="003729BC" w:rsidRPr="006F4515" w:rsidRDefault="003729BC" w:rsidP="00F94A91">
            <w:pPr>
              <w:pStyle w:val="a3"/>
              <w:numPr>
                <w:ilvl w:val="0"/>
                <w:numId w:val="11"/>
              </w:numPr>
              <w:spacing w:line="400" w:lineRule="exact"/>
              <w:ind w:leftChars="0" w:left="672" w:hanging="192"/>
              <w:rPr>
                <w:rFonts w:ascii="標楷體" w:eastAsia="標楷體" w:hAnsi="標楷體"/>
                <w:color w:val="000000" w:themeColor="text1"/>
                <w:szCs w:val="24"/>
              </w:rPr>
            </w:pPr>
            <w:r w:rsidRPr="006F4515">
              <w:rPr>
                <w:rFonts w:ascii="標楷體" w:eastAsia="標楷體" w:hAnsi="標楷體" w:hint="eastAsia"/>
                <w:color w:val="000000" w:themeColor="text1"/>
                <w:szCs w:val="24"/>
              </w:rPr>
              <w:t>檢附相關文件並郵寄至秘書處</w:t>
            </w:r>
          </w:p>
          <w:p w14:paraId="3435CE78" w14:textId="7ED2BA28" w:rsidR="00F94A91" w:rsidRPr="00F94A91" w:rsidRDefault="003729BC" w:rsidP="00F94A91">
            <w:pPr>
              <w:pStyle w:val="a3"/>
              <w:rPr>
                <w:rFonts w:ascii="標楷體" w:eastAsia="標楷體" w:hAnsi="標楷體"/>
                <w:color w:val="000000" w:themeColor="text1"/>
                <w:szCs w:val="24"/>
              </w:rPr>
            </w:pPr>
            <w:r w:rsidRPr="00ED7D93">
              <w:rPr>
                <w:rFonts w:ascii="標楷體" w:eastAsia="標楷體" w:hAnsi="標楷體" w:hint="eastAsia"/>
                <w:color w:val="000000" w:themeColor="text1"/>
                <w:szCs w:val="24"/>
              </w:rPr>
              <w:t>地址：(</w:t>
            </w:r>
            <w:r w:rsidR="00B9183E">
              <w:rPr>
                <w:rFonts w:ascii="標楷體" w:eastAsia="標楷體" w:hAnsi="標楷體" w:hint="eastAsia"/>
                <w:color w:val="000000" w:themeColor="text1"/>
                <w:szCs w:val="24"/>
              </w:rPr>
              <w:t>236</w:t>
            </w:r>
            <w:r w:rsidRPr="00ED7D93">
              <w:rPr>
                <w:rFonts w:ascii="標楷體" w:eastAsia="標楷體" w:hAnsi="標楷體" w:hint="eastAsia"/>
                <w:color w:val="000000" w:themeColor="text1"/>
                <w:szCs w:val="24"/>
              </w:rPr>
              <w:t>)</w:t>
            </w:r>
            <w:r w:rsidR="00F94A91">
              <w:rPr>
                <w:rFonts w:hint="eastAsia"/>
              </w:rPr>
              <w:t xml:space="preserve"> </w:t>
            </w:r>
            <w:r w:rsidR="00B9183E">
              <w:rPr>
                <w:rFonts w:ascii="標楷體" w:eastAsia="標楷體" w:hAnsi="標楷體" w:hint="eastAsia"/>
                <w:color w:val="000000" w:themeColor="text1"/>
                <w:szCs w:val="24"/>
              </w:rPr>
              <w:t>新北市土城區金城路二段6號</w:t>
            </w:r>
            <w:r w:rsidR="00F94A91" w:rsidRPr="00F94A91">
              <w:rPr>
                <w:rFonts w:ascii="標楷體" w:eastAsia="標楷體" w:hAnsi="標楷體" w:hint="eastAsia"/>
                <w:color w:val="000000" w:themeColor="text1"/>
                <w:szCs w:val="24"/>
              </w:rPr>
              <w:t xml:space="preserve"> </w:t>
            </w:r>
          </w:p>
          <w:p w14:paraId="0F3E902A" w14:textId="0D9C2B5E" w:rsidR="00F94A91" w:rsidRDefault="00B9183E" w:rsidP="00F94A9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新北市立土城醫院神經內科</w:t>
            </w:r>
          </w:p>
          <w:p w14:paraId="6E2D4211" w14:textId="77777777" w:rsidR="00F94A91" w:rsidRPr="00F94A91" w:rsidRDefault="00F94A91" w:rsidP="00F94A9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台灣臨床失智症學會 秘書處</w:t>
            </w:r>
          </w:p>
          <w:p w14:paraId="594C89D3" w14:textId="77777777" w:rsidR="003729BC" w:rsidRPr="00ED7D93" w:rsidRDefault="003729BC" w:rsidP="00F94A91">
            <w:pPr>
              <w:pStyle w:val="a3"/>
              <w:numPr>
                <w:ilvl w:val="0"/>
                <w:numId w:val="9"/>
              </w:numPr>
              <w:ind w:leftChars="0" w:left="246" w:hanging="246"/>
              <w:rPr>
                <w:rFonts w:ascii="標楷體" w:eastAsia="標楷體" w:hAnsi="標楷體"/>
                <w:color w:val="000000" w:themeColor="text1"/>
                <w:szCs w:val="24"/>
              </w:rPr>
            </w:pPr>
            <w:r w:rsidRPr="00ED7D93">
              <w:rPr>
                <w:rFonts w:ascii="標楷體" w:eastAsia="標楷體" w:hAnsi="標楷體" w:hint="eastAsia"/>
                <w:color w:val="000000" w:themeColor="text1"/>
                <w:szCs w:val="24"/>
              </w:rPr>
              <w:t>秘書處請委員會審核資格。</w:t>
            </w:r>
          </w:p>
          <w:p w14:paraId="68504309" w14:textId="77777777" w:rsidR="003729BC" w:rsidRPr="00ED7D93" w:rsidRDefault="003729BC" w:rsidP="00F94A91">
            <w:pPr>
              <w:pStyle w:val="a3"/>
              <w:numPr>
                <w:ilvl w:val="0"/>
                <w:numId w:val="9"/>
              </w:numPr>
              <w:ind w:leftChars="0" w:left="246" w:hanging="246"/>
              <w:rPr>
                <w:rFonts w:ascii="標楷體" w:eastAsia="標楷體" w:hAnsi="標楷體"/>
                <w:color w:val="000000" w:themeColor="text1"/>
                <w:szCs w:val="24"/>
              </w:rPr>
            </w:pPr>
            <w:r w:rsidRPr="00ED7D93">
              <w:rPr>
                <w:rFonts w:ascii="標楷體" w:eastAsia="標楷體" w:hAnsi="標楷體" w:hint="eastAsia"/>
                <w:color w:val="000000" w:themeColor="text1"/>
                <w:szCs w:val="24"/>
              </w:rPr>
              <w:t>委員會審查完畢後回傳給秘書處，通過後頒發『失智症診療醫師』推薦證書。</w:t>
            </w:r>
          </w:p>
          <w:p w14:paraId="6A2892DF" w14:textId="77777777" w:rsidR="003729BC" w:rsidRPr="00ED7D93" w:rsidRDefault="003729BC" w:rsidP="00F94A91">
            <w:pPr>
              <w:pStyle w:val="a3"/>
              <w:numPr>
                <w:ilvl w:val="0"/>
                <w:numId w:val="9"/>
              </w:numPr>
              <w:ind w:leftChars="0" w:left="246" w:hanging="246"/>
              <w:rPr>
                <w:rFonts w:ascii="標楷體" w:eastAsia="標楷體" w:hAnsi="標楷體"/>
                <w:color w:val="000000" w:themeColor="text1"/>
                <w:szCs w:val="24"/>
              </w:rPr>
            </w:pPr>
            <w:r w:rsidRPr="00ED7D93">
              <w:rPr>
                <w:rFonts w:ascii="標楷體" w:eastAsia="標楷體" w:hAnsi="標楷體" w:hint="eastAsia"/>
                <w:color w:val="000000" w:themeColor="text1"/>
                <w:szCs w:val="24"/>
              </w:rPr>
              <w:t>秘書處通知結果並寄發證書。</w:t>
            </w:r>
          </w:p>
          <w:p w14:paraId="319776B7" w14:textId="77777777" w:rsidR="00E314B4" w:rsidRPr="00F94A91" w:rsidRDefault="003729BC" w:rsidP="00F94A91">
            <w:pPr>
              <w:pStyle w:val="a3"/>
              <w:numPr>
                <w:ilvl w:val="0"/>
                <w:numId w:val="9"/>
              </w:numPr>
              <w:ind w:leftChars="0" w:left="246" w:hanging="246"/>
              <w:rPr>
                <w:rFonts w:ascii="標楷體" w:eastAsia="標楷體" w:hAnsi="標楷體"/>
                <w:color w:val="000000" w:themeColor="text1"/>
                <w:szCs w:val="24"/>
              </w:rPr>
            </w:pPr>
            <w:r w:rsidRPr="00ED7D93">
              <w:rPr>
                <w:rFonts w:ascii="標楷體" w:eastAsia="標楷體" w:hAnsi="標楷體" w:hint="eastAsia"/>
                <w:color w:val="000000" w:themeColor="text1"/>
                <w:szCs w:val="24"/>
              </w:rPr>
              <w:t>公佈於學會網站</w:t>
            </w:r>
          </w:p>
        </w:tc>
      </w:tr>
    </w:tbl>
    <w:p w14:paraId="3BD275DF" w14:textId="77777777" w:rsidR="00ED7D93" w:rsidRPr="00712F4C" w:rsidRDefault="00ED7D93" w:rsidP="00F94A91">
      <w:pPr>
        <w:rPr>
          <w:rFonts w:ascii="新細明體" w:eastAsia="新細明體" w:hAnsi="新細明體" w:hint="eastAsia"/>
          <w:color w:val="000000" w:themeColor="text1"/>
          <w:szCs w:val="24"/>
        </w:rPr>
      </w:pPr>
    </w:p>
    <w:sectPr w:rsidR="00ED7D93" w:rsidRPr="00712F4C" w:rsidSect="00E314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25A"/>
    <w:multiLevelType w:val="hybridMultilevel"/>
    <w:tmpl w:val="E9227EA4"/>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 w15:restartNumberingAfterBreak="0">
    <w:nsid w:val="01803903"/>
    <w:multiLevelType w:val="hybridMultilevel"/>
    <w:tmpl w:val="7B8C1D96"/>
    <w:lvl w:ilvl="0" w:tplc="6D1C221A">
      <w:start w:val="1"/>
      <w:numFmt w:val="bullet"/>
      <w:lvlText w:val=""/>
      <w:lvlJc w:val="left"/>
      <w:pPr>
        <w:ind w:left="960" w:hanging="480"/>
      </w:pPr>
      <w:rPr>
        <w:rFonts w:ascii="Wingdings" w:hAnsi="Wingdings" w:hint="default"/>
        <w:color w:val="0000FF"/>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5623922"/>
    <w:multiLevelType w:val="hybridMultilevel"/>
    <w:tmpl w:val="96AA8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1559F"/>
    <w:multiLevelType w:val="hybridMultilevel"/>
    <w:tmpl w:val="01965470"/>
    <w:lvl w:ilvl="0" w:tplc="1CF8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B727F"/>
    <w:multiLevelType w:val="hybridMultilevel"/>
    <w:tmpl w:val="C57A8154"/>
    <w:lvl w:ilvl="0" w:tplc="1CF8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D74EAA"/>
    <w:multiLevelType w:val="hybridMultilevel"/>
    <w:tmpl w:val="27DC6D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2387B25"/>
    <w:multiLevelType w:val="hybridMultilevel"/>
    <w:tmpl w:val="30D01E98"/>
    <w:lvl w:ilvl="0" w:tplc="84868E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7F79E6"/>
    <w:multiLevelType w:val="hybridMultilevel"/>
    <w:tmpl w:val="2E68C0B8"/>
    <w:lvl w:ilvl="0" w:tplc="84868E5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1124C"/>
    <w:multiLevelType w:val="hybridMultilevel"/>
    <w:tmpl w:val="98961EA0"/>
    <w:lvl w:ilvl="0" w:tplc="36083C4C">
      <w:numFmt w:val="bullet"/>
      <w:lvlText w:val="◆"/>
      <w:lvlJc w:val="left"/>
      <w:pPr>
        <w:ind w:left="360" w:hanging="360"/>
      </w:pPr>
      <w:rPr>
        <w:rFonts w:ascii="細明體" w:eastAsia="細明體" w:hAnsi="細明體" w:cs="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89351A0"/>
    <w:multiLevelType w:val="hybridMultilevel"/>
    <w:tmpl w:val="46DA6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752DDB"/>
    <w:multiLevelType w:val="hybridMultilevel"/>
    <w:tmpl w:val="2E68C0B8"/>
    <w:lvl w:ilvl="0" w:tplc="84868E5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EB39BD"/>
    <w:multiLevelType w:val="hybridMultilevel"/>
    <w:tmpl w:val="ADF06A26"/>
    <w:lvl w:ilvl="0" w:tplc="84868E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04799571">
    <w:abstractNumId w:val="9"/>
  </w:num>
  <w:num w:numId="2" w16cid:durableId="624044928">
    <w:abstractNumId w:val="4"/>
  </w:num>
  <w:num w:numId="3" w16cid:durableId="1117986986">
    <w:abstractNumId w:val="0"/>
  </w:num>
  <w:num w:numId="4" w16cid:durableId="261037499">
    <w:abstractNumId w:val="3"/>
  </w:num>
  <w:num w:numId="5" w16cid:durableId="943802562">
    <w:abstractNumId w:val="10"/>
  </w:num>
  <w:num w:numId="6" w16cid:durableId="105201965">
    <w:abstractNumId w:val="7"/>
  </w:num>
  <w:num w:numId="7" w16cid:durableId="3015319">
    <w:abstractNumId w:val="6"/>
  </w:num>
  <w:num w:numId="8" w16cid:durableId="580484565">
    <w:abstractNumId w:val="11"/>
  </w:num>
  <w:num w:numId="9" w16cid:durableId="1514416306">
    <w:abstractNumId w:val="2"/>
  </w:num>
  <w:num w:numId="10" w16cid:durableId="158890926">
    <w:abstractNumId w:val="5"/>
  </w:num>
  <w:num w:numId="11" w16cid:durableId="1864976210">
    <w:abstractNumId w:val="1"/>
  </w:num>
  <w:num w:numId="12" w16cid:durableId="1665476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88"/>
    <w:rsid w:val="003729BC"/>
    <w:rsid w:val="0044458F"/>
    <w:rsid w:val="00537542"/>
    <w:rsid w:val="00661588"/>
    <w:rsid w:val="006F4515"/>
    <w:rsid w:val="00712F4C"/>
    <w:rsid w:val="00947C14"/>
    <w:rsid w:val="009B5293"/>
    <w:rsid w:val="00A95FD3"/>
    <w:rsid w:val="00B00CF7"/>
    <w:rsid w:val="00B9183E"/>
    <w:rsid w:val="00C31C61"/>
    <w:rsid w:val="00C560EB"/>
    <w:rsid w:val="00D75469"/>
    <w:rsid w:val="00E314B4"/>
    <w:rsid w:val="00E55F91"/>
    <w:rsid w:val="00ED7D93"/>
    <w:rsid w:val="00F07370"/>
    <w:rsid w:val="00F94A91"/>
    <w:rsid w:val="00FE4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2DDA"/>
  <w15:docId w15:val="{68327E1B-75E8-490F-A857-9375FC03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588"/>
    <w:pPr>
      <w:ind w:leftChars="200" w:left="480"/>
    </w:pPr>
  </w:style>
  <w:style w:type="table" w:styleId="a4">
    <w:name w:val="Table Grid"/>
    <w:basedOn w:val="a1"/>
    <w:uiPriority w:val="59"/>
    <w:rsid w:val="00E3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郁方 林</cp:lastModifiedBy>
  <cp:revision>6</cp:revision>
  <dcterms:created xsi:type="dcterms:W3CDTF">2019-04-24T05:38:00Z</dcterms:created>
  <dcterms:modified xsi:type="dcterms:W3CDTF">2024-10-23T04:44:00Z</dcterms:modified>
</cp:coreProperties>
</file>